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 xml:space="preserve">Пользователь, изначально имеющий доступ к лицензированному компьютеру, считается «основным пользователем». Основной пользователь имеет право доступа и </w:t>
      </w:r>
      <w:r w:rsidR="00D809D3" w:rsidRPr="00DE40B7">
        <w:rPr>
          <w:rFonts w:cs="Tahoma"/>
          <w:sz w:val="20"/>
          <w:szCs w:val="20"/>
          <w:lang w:val="ru-RU"/>
        </w:rPr>
        <w:lastRenderedPageBreak/>
        <w:t>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F75860">
      <w:rPr>
        <w:noProof/>
        <w:sz w:val="19"/>
        <w:szCs w:val="19"/>
      </w:rPr>
      <w:t>3</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F75860">
      <w:rPr>
        <w:noProof/>
        <w:sz w:val="19"/>
        <w:szCs w:val="19"/>
      </w:rPr>
      <w:t>4</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cPpxYK8URLj4MSwjO8VEDNkYOXp7C6wdXpvt5KlT2zVgwBYfx0LjQHQ6KjOcpi8kcm/8QEu+QzAeVDV6++UdA==" w:salt="h7Uc4B14kkY769pwUZx1x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75860"/>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BBA61188-CBAB-44C6-ABE6-749865CE7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2.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2016-12-28T17:50:00Z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